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附件：</w:t>
      </w:r>
    </w:p>
    <w:p>
      <w:pPr>
        <w:jc w:val="center"/>
        <w:rPr>
          <w:rFonts w:ascii="宋体" w:hAnsi="宋体" w:eastAsia="宋体"/>
          <w:b/>
          <w:sz w:val="44"/>
          <w:szCs w:val="44"/>
        </w:rPr>
      </w:pPr>
      <w:r>
        <w:rPr>
          <w:rFonts w:hint="eastAsia" w:ascii="宋体" w:hAnsi="宋体" w:eastAsia="宋体"/>
          <w:b/>
          <w:sz w:val="44"/>
          <w:szCs w:val="44"/>
        </w:rPr>
        <w:t>二、超星期刊简介</w:t>
      </w:r>
    </w:p>
    <w:p>
      <w:pPr>
        <w:pStyle w:val="4"/>
        <w:ind w:left="42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超星期刊项目自</w:t>
      </w:r>
      <w:r>
        <w:rPr>
          <w:rFonts w:ascii="Times New Roman" w:hAnsi="Times New Roman" w:eastAsia="仿宋_GB2312" w:cs="Times New Roman"/>
          <w:sz w:val="30"/>
          <w:szCs w:val="30"/>
        </w:rPr>
        <w:t>2015年5月启动以来，得到了广大学术界、期刊界和出版界专家、学者的大力支持，截至目前收录总量超过</w:t>
      </w:r>
      <w:r>
        <w:rPr>
          <w:rFonts w:hint="eastAsia" w:ascii="Times New Roman" w:hAnsi="Times New Roman" w:eastAsia="仿宋_GB2312" w:cs="Times New Roman"/>
          <w:sz w:val="30"/>
          <w:szCs w:val="30"/>
        </w:rPr>
        <w:t>7400</w:t>
      </w:r>
      <w:r>
        <w:rPr>
          <w:rFonts w:ascii="Times New Roman" w:hAnsi="Times New Roman" w:eastAsia="仿宋_GB2312" w:cs="Times New Roman"/>
          <w:sz w:val="30"/>
          <w:szCs w:val="30"/>
        </w:rPr>
        <w:t>种，其中核心期刊1300种，独有期刊</w:t>
      </w:r>
      <w:r>
        <w:rPr>
          <w:rFonts w:hint="eastAsia" w:ascii="Times New Roman" w:hAnsi="Times New Roman" w:eastAsia="仿宋_GB2312" w:cs="Times New Roman"/>
          <w:sz w:val="30"/>
          <w:szCs w:val="30"/>
        </w:rPr>
        <w:t>900多</w:t>
      </w:r>
      <w:r>
        <w:rPr>
          <w:rFonts w:ascii="Times New Roman" w:hAnsi="Times New Roman" w:eastAsia="仿宋_GB2312" w:cs="Times New Roman"/>
          <w:sz w:val="30"/>
          <w:szCs w:val="30"/>
        </w:rPr>
        <w:t>种。</w:t>
      </w:r>
    </w:p>
    <w:p>
      <w:pPr>
        <w:pStyle w:val="4"/>
        <w:ind w:left="42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超星提出了基于“域出版”的超星期刊服务解决思路和解决方案（“域出版”是对期刊传统编辑出版模式里每期内容的“栏目化”组织方式，从而更好的体现学术期刊独特的学术价值、问题意识、学科倾向和专业尺度）。</w:t>
      </w:r>
    </w:p>
    <w:p>
      <w:pPr>
        <w:pStyle w:val="4"/>
        <w:ind w:left="42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在内容服务方面，超星期刊以具有时代特征的流媒体格式多终端同步出版，无并发、使用次数、时间、空间等的限制。</w:t>
      </w:r>
    </w:p>
    <w:p>
      <w:pPr>
        <w:pStyle w:val="4"/>
        <w:ind w:left="42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功能服务方面，超星期刊的全新服务模式，重点解决个性化阅读需求的采集、专业化阅读线索和阅读方案的提供、社区化阅读的交流与传播、线上阅读和线下阅读的互动以及知识的全媒体解读与可视化呈现，开创全新移动开放评价体系。</w:t>
      </w:r>
    </w:p>
    <w:p>
      <w:pPr>
        <w:pStyle w:val="4"/>
        <w:ind w:left="42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全新增值服务方面，超星期刊平台是基于互联网的智慧服务平台，该平台为用户提供全流程、自助式、智能化的专题汇编功能，快速实现对各类文献的检索与筛选、分类与管理、汇编与创作、合成与阅读的域专题编创，以帮助用户快速学习和传播自己的知识成果。</w:t>
      </w:r>
    </w:p>
    <w:p>
      <w:pPr>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超星期刊功能</w:t>
      </w:r>
    </w:p>
    <w:p>
      <w:pPr>
        <w:rPr>
          <w:rFonts w:ascii="Times New Roman" w:hAnsi="Times New Roman" w:eastAsia="仿宋_GB2312" w:cs="Times New Roman"/>
          <w:sz w:val="30"/>
          <w:szCs w:val="30"/>
        </w:rPr>
      </w:pPr>
      <w:bookmarkStart w:id="0" w:name="_Toc485053766"/>
      <w:r>
        <w:rPr>
          <w:rFonts w:hint="eastAsia" w:ascii="Times New Roman" w:hAnsi="Times New Roman" w:eastAsia="仿宋_GB2312" w:cs="Times New Roman"/>
          <w:sz w:val="30"/>
          <w:szCs w:val="30"/>
        </w:rPr>
        <w:t>1、学科分类合理</w:t>
      </w:r>
      <w:bookmarkEnd w:id="0"/>
    </w:p>
    <w:p>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以教育部颁发的</w:t>
      </w:r>
      <w:r>
        <w:rPr>
          <w:rFonts w:ascii="Times New Roman" w:hAnsi="Times New Roman" w:eastAsia="仿宋_GB2312" w:cs="Times New Roman"/>
          <w:sz w:val="30"/>
          <w:szCs w:val="30"/>
        </w:rPr>
        <w:t>《普通高等学校本科专业目录》</w:t>
      </w:r>
      <w:r>
        <w:rPr>
          <w:rFonts w:hint="eastAsia" w:ascii="Times New Roman" w:hAnsi="Times New Roman" w:eastAsia="仿宋_GB2312" w:cs="Times New Roman"/>
          <w:sz w:val="30"/>
          <w:szCs w:val="30"/>
        </w:rPr>
        <w:t>为主体，《中国图书馆分类法（第五版）》和中国科学院资料分类法为参考，在综合参考移动端用户的特征和需求的前提下推出超星期刊分类体系。</w:t>
      </w:r>
    </w:p>
    <w:p>
      <w:pPr>
        <w:rPr>
          <w:rFonts w:ascii="Times New Roman" w:hAnsi="Times New Roman" w:eastAsia="仿宋_GB2312" w:cs="Times New Roman"/>
          <w:sz w:val="30"/>
          <w:szCs w:val="30"/>
        </w:rPr>
      </w:pPr>
      <w:bookmarkStart w:id="1" w:name="_Toc485053767"/>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、刊物+文献的精准筛选</w:t>
      </w:r>
      <w:bookmarkEnd w:id="1"/>
    </w:p>
    <w:p>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通过关键词对相关内容的聚类筛选，为读者提供精准的知识服务。</w:t>
      </w:r>
    </w:p>
    <w:p>
      <w:pPr>
        <w:rPr>
          <w:rFonts w:ascii="Times New Roman" w:hAnsi="Times New Roman" w:eastAsia="仿宋_GB2312" w:cs="Times New Roman"/>
          <w:sz w:val="30"/>
          <w:szCs w:val="30"/>
        </w:rPr>
      </w:pPr>
      <w:bookmarkStart w:id="2" w:name="_Toc485053768"/>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流式媒体呈现</w:t>
      </w:r>
      <w:bookmarkEnd w:id="2"/>
    </w:p>
    <w:p>
      <w:pPr>
        <w:widowControl/>
        <w:adjustRightInd w:val="0"/>
        <w:snapToGrid w:val="0"/>
        <w:spacing w:before="100" w:beforeAutospacing="1"/>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期刊文献以流式媒体呈现出来。文章阅读流畅一读到底；且适应各种终端。</w:t>
      </w:r>
      <w:r>
        <w:rPr>
          <w:rFonts w:ascii="Times New Roman" w:hAnsi="Times New Roman" w:eastAsia="仿宋_GB2312" w:cs="Times New Roman"/>
          <w:sz w:val="30"/>
          <w:szCs w:val="30"/>
        </w:rPr>
        <w:t>不同终端自适应阅读：自动换行、字号调整、背景选择</w:t>
      </w:r>
      <w:r>
        <w:rPr>
          <w:rFonts w:hint="eastAsia" w:ascii="Times New Roman" w:hAnsi="Times New Roman" w:eastAsia="仿宋_GB2312" w:cs="Times New Roman"/>
          <w:sz w:val="30"/>
          <w:szCs w:val="30"/>
        </w:rPr>
        <w:t>。</w:t>
      </w:r>
    </w:p>
    <w:p>
      <w:pPr>
        <w:rPr>
          <w:rFonts w:ascii="Times New Roman" w:hAnsi="Times New Roman" w:eastAsia="仿宋_GB2312" w:cs="Times New Roman"/>
          <w:sz w:val="30"/>
          <w:szCs w:val="30"/>
        </w:rPr>
      </w:pPr>
      <w:bookmarkStart w:id="3" w:name="_Toc485053769"/>
      <w:r>
        <w:rPr>
          <w:rFonts w:hint="eastAsia" w:ascii="Times New Roman" w:hAnsi="Times New Roman" w:eastAsia="仿宋_GB2312" w:cs="Times New Roman"/>
          <w:sz w:val="30"/>
          <w:szCs w:val="30"/>
        </w:rPr>
        <w:t>4、互动交流阅读</w:t>
      </w:r>
      <w:bookmarkEnd w:id="3"/>
    </w:p>
    <w:p>
      <w:pPr>
        <w:widowControl/>
        <w:adjustRightInd w:val="0"/>
        <w:snapToGrid w:val="0"/>
        <w:spacing w:before="100" w:beforeAutospacing="1"/>
        <w:ind w:left="210" w:leftChars="100"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智慧阅读，以“我的书房”为入口，以脑联网、智联网技术为支撑，通过知识智推、好友收藏、专家书房、领域精英转发、消息、通知、打赏、评论、点赞等，实现不搜即得的交互式深度阅读。</w:t>
      </w:r>
    </w:p>
    <w:p>
      <w:pPr>
        <w:rPr>
          <w:rFonts w:ascii="Times New Roman" w:hAnsi="Times New Roman" w:eastAsia="仿宋_GB2312" w:cs="Times New Roman"/>
          <w:sz w:val="30"/>
          <w:szCs w:val="30"/>
        </w:rPr>
      </w:pPr>
      <w:bookmarkStart w:id="4" w:name="_Toc485053770"/>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、多通道</w:t>
      </w:r>
      <w:r>
        <w:rPr>
          <w:rFonts w:ascii="Times New Roman" w:hAnsi="Times New Roman" w:eastAsia="仿宋_GB2312" w:cs="Times New Roman"/>
          <w:sz w:val="30"/>
          <w:szCs w:val="30"/>
        </w:rPr>
        <w:t>传播分享</w:t>
      </w:r>
      <w:bookmarkEnd w:id="4"/>
    </w:p>
    <w:p>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人人是传播者，评论者，使用者</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优质、先进的文化的传播通道</w:t>
      </w:r>
      <w:r>
        <w:rPr>
          <w:rFonts w:hint="eastAsia" w:ascii="Times New Roman" w:hAnsi="Times New Roman" w:eastAsia="仿宋_GB2312" w:cs="Times New Roman"/>
          <w:sz w:val="30"/>
          <w:szCs w:val="30"/>
        </w:rPr>
        <w:t>。</w:t>
      </w:r>
    </w:p>
    <w:p>
      <w:pPr>
        <w:rPr>
          <w:rFonts w:ascii="Times New Roman" w:hAnsi="Times New Roman" w:eastAsia="仿宋_GB2312" w:cs="Times New Roman"/>
          <w:sz w:val="30"/>
          <w:szCs w:val="30"/>
        </w:rPr>
      </w:pPr>
      <w:bookmarkStart w:id="5" w:name="_Toc485053771"/>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、趋势脉络分析</w:t>
      </w:r>
      <w:bookmarkEnd w:id="5"/>
    </w:p>
    <w:p>
      <w:pPr>
        <w:widowControl/>
        <w:adjustRightInd w:val="0"/>
        <w:snapToGrid w:val="0"/>
        <w:spacing w:before="100" w:beforeAutospacing="1"/>
        <w:ind w:firstLine="42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按出版脉络体系，对期刊的历史数据进行呈现，并按不同类别进行趋势分析。</w:t>
      </w:r>
    </w:p>
    <w:p>
      <w:pPr>
        <w:rPr>
          <w:rFonts w:ascii="Times New Roman" w:hAnsi="Times New Roman" w:eastAsia="仿宋_GB2312" w:cs="Times New Roman"/>
          <w:sz w:val="30"/>
          <w:szCs w:val="30"/>
        </w:rPr>
      </w:pPr>
      <w:bookmarkStart w:id="6" w:name="_Toc485053772"/>
      <w:r>
        <w:rPr>
          <w:rFonts w:hint="eastAsia" w:ascii="Times New Roman" w:hAnsi="Times New Roman" w:eastAsia="仿宋_GB2312" w:cs="Times New Roman"/>
          <w:sz w:val="30"/>
          <w:szCs w:val="30"/>
        </w:rPr>
        <w:t>7、多形式</w:t>
      </w:r>
      <w:r>
        <w:rPr>
          <w:rFonts w:ascii="Times New Roman" w:hAnsi="Times New Roman" w:eastAsia="仿宋_GB2312" w:cs="Times New Roman"/>
          <w:sz w:val="30"/>
          <w:szCs w:val="30"/>
        </w:rPr>
        <w:t>出版</w:t>
      </w:r>
      <w:r>
        <w:rPr>
          <w:rFonts w:hint="eastAsia" w:ascii="Times New Roman" w:hAnsi="Times New Roman" w:eastAsia="仿宋_GB2312" w:cs="Times New Roman"/>
          <w:sz w:val="30"/>
          <w:szCs w:val="30"/>
        </w:rPr>
        <w:t>发</w:t>
      </w:r>
      <w:r>
        <w:rPr>
          <w:rFonts w:ascii="Times New Roman" w:hAnsi="Times New Roman" w:eastAsia="仿宋_GB2312" w:cs="Times New Roman"/>
          <w:sz w:val="30"/>
          <w:szCs w:val="30"/>
        </w:rPr>
        <w:t>布</w:t>
      </w:r>
      <w:bookmarkEnd w:id="6"/>
    </w:p>
    <w:p>
      <w:pPr>
        <w:widowControl/>
        <w:adjustRightInd w:val="0"/>
        <w:snapToGrid w:val="0"/>
        <w:spacing w:before="100" w:beforeAutospacing="1"/>
        <w:ind w:left="150" w:hanging="150" w:hangingChars="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域出版（专题出版）</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预出版（即时出版）</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云出版（全媒体、全终端、全网络）</w:t>
      </w:r>
      <w:r>
        <w:rPr>
          <w:rFonts w:hint="eastAsia" w:ascii="Times New Roman" w:hAnsi="Times New Roman" w:eastAsia="仿宋_GB2312" w:cs="Times New Roman"/>
          <w:sz w:val="30"/>
          <w:szCs w:val="30"/>
        </w:rPr>
        <w:t>；实现了全媒体、全介质、全渠道、全时空、全终端，满足广域实时动态发布。</w:t>
      </w:r>
    </w:p>
    <w:p>
      <w:pPr>
        <w:rPr>
          <w:rFonts w:ascii="Times New Roman" w:hAnsi="Times New Roman" w:eastAsia="仿宋_GB2312" w:cs="Times New Roman"/>
          <w:sz w:val="30"/>
          <w:szCs w:val="30"/>
        </w:rPr>
      </w:pPr>
      <w:bookmarkStart w:id="7" w:name="_Toc485053773"/>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、多终端无缝对</w:t>
      </w:r>
      <w:r>
        <w:rPr>
          <w:rFonts w:ascii="Times New Roman" w:hAnsi="Times New Roman" w:eastAsia="仿宋_GB2312" w:cs="Times New Roman"/>
          <w:sz w:val="30"/>
          <w:szCs w:val="30"/>
        </w:rPr>
        <w:t>接</w:t>
      </w:r>
      <w:bookmarkEnd w:id="7"/>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超星期刊无任何并发数、使用次数的限制！</w:t>
      </w:r>
      <w:r>
        <w:rPr>
          <w:rFonts w:hint="eastAsia" w:ascii="Times New Roman" w:hAnsi="Times New Roman" w:eastAsia="仿宋_GB2312" w:cs="Times New Roman"/>
          <w:sz w:val="30"/>
          <w:szCs w:val="30"/>
        </w:rPr>
        <w:t>是</w:t>
      </w:r>
      <w:r>
        <w:rPr>
          <w:rFonts w:ascii="Times New Roman" w:hAnsi="Times New Roman" w:eastAsia="仿宋_GB2312" w:cs="Times New Roman"/>
          <w:sz w:val="30"/>
          <w:szCs w:val="30"/>
        </w:rPr>
        <w:t>读者的知识</w:t>
      </w:r>
      <w:r>
        <w:rPr>
          <w:rFonts w:hint="eastAsia" w:ascii="Times New Roman" w:hAnsi="Times New Roman" w:eastAsia="仿宋_GB2312" w:cs="Times New Roman"/>
          <w:sz w:val="30"/>
          <w:szCs w:val="30"/>
        </w:rPr>
        <w:t>服务支撑，智能阅读支撑和智慧学习服务支撑。</w:t>
      </w:r>
    </w:p>
    <w:p>
      <w:pPr>
        <w:rPr>
          <w:rFonts w:ascii="Times New Roman" w:hAnsi="Times New Roman" w:eastAsia="仿宋_GB2312" w:cs="Times New Roman"/>
          <w:sz w:val="30"/>
          <w:szCs w:val="30"/>
        </w:rPr>
      </w:pPr>
      <w:bookmarkStart w:id="8" w:name="_Toc485053774"/>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、检索技术</w:t>
      </w:r>
      <w:bookmarkEnd w:id="8"/>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a.采用分面搜索技术，使用户根据实际需要进行任意维度的组配检索、自由扩检和缩检；</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b.支持精确</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模糊匹配</w:t>
      </w:r>
      <w:r>
        <w:rPr>
          <w:rFonts w:ascii="Times New Roman" w:hAnsi="Times New Roman" w:eastAsia="仿宋_GB2312" w:cs="Times New Roman"/>
          <w:sz w:val="30"/>
          <w:szCs w:val="30"/>
        </w:rPr>
        <w:t>;</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c.提供扩展检索、专业检索、二次检索等多种智能检索方式；</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d.排序规则：支持按照相关性、出版日期升降序、引文量以等排序规则。</w:t>
      </w:r>
    </w:p>
    <w:p>
      <w:pPr>
        <w:rPr>
          <w:rFonts w:ascii="Times New Roman" w:hAnsi="Times New Roman" w:eastAsia="仿宋_GB2312" w:cs="Times New Roman"/>
          <w:sz w:val="30"/>
          <w:szCs w:val="30"/>
        </w:rPr>
      </w:pPr>
      <w:bookmarkStart w:id="9" w:name="_Toc485053775"/>
      <w:r>
        <w:rPr>
          <w:rFonts w:hint="eastAsia" w:ascii="Times New Roman" w:hAnsi="Times New Roman" w:eastAsia="仿宋_GB2312" w:cs="Times New Roman"/>
          <w:sz w:val="30"/>
          <w:szCs w:val="30"/>
        </w:rPr>
        <w:t>10、数据知识关联</w:t>
      </w:r>
      <w:bookmarkEnd w:id="9"/>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对知识点进行深度挖掘的同时对数据进行科学的分析，是对学习以及科学研究的强有力的支持。超星期刊系统基于现有的技术及数据，可以详细的对各知识点、知识群进行深度的剖析和扩散挖掘，同时对数据进行科学的分析。</w:t>
      </w:r>
    </w:p>
    <w:p>
      <w:pPr>
        <w:widowControl/>
        <w:adjustRightInd w:val="0"/>
        <w:snapToGrid w:val="0"/>
        <w:spacing w:before="100" w:beforeAutospacing="1"/>
        <w:jc w:val="center"/>
        <w:rPr>
          <w:rFonts w:ascii="Times New Roman" w:hAnsi="Times New Roman" w:eastAsia="仿宋_GB2312" w:cs="Times New Roman"/>
          <w:sz w:val="30"/>
          <w:szCs w:val="30"/>
        </w:rPr>
      </w:pPr>
    </w:p>
    <w:p>
      <w:pPr>
        <w:widowControl/>
        <w:adjustRightInd w:val="0"/>
        <w:snapToGrid w:val="0"/>
        <w:spacing w:before="100" w:beforeAutospacing="1"/>
        <w:jc w:val="left"/>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超星期刊优势</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无并发数限制</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超星期刊检索无上限，没有多人同时检索时卡顿等问题。</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无IP限制</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手机端用户通过个人账号登录的方式，在单位外也能阅读期刊，支持随时阅读。</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与超星其他产品的无缝对接</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与百链、超星发现、移动图书馆、超星云舟等产品的无缝对接。</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现刊快速更新</w:t>
      </w:r>
    </w:p>
    <w:p>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超星基于先进的数字化技术与流媒体制作技术，现刊上网更新速度比传统数据库提前</w:t>
      </w:r>
      <w:r>
        <w:rPr>
          <w:rFonts w:ascii="Times New Roman" w:hAnsi="Times New Roman" w:eastAsia="仿宋_GB2312" w:cs="Times New Roman"/>
          <w:sz w:val="30"/>
          <w:szCs w:val="30"/>
        </w:rPr>
        <w:t>7-10天。</w:t>
      </w:r>
    </w:p>
    <w:p>
      <w:pPr>
        <w:ind w:firstLine="420" w:firstLineChars="200"/>
        <w:rPr>
          <w:rFonts w:ascii="微软雅黑" w:hAnsi="微软雅黑" w:eastAsia="微软雅黑"/>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D3717"/>
    <w:rsid w:val="504D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2020-11-23T08:37:00Z</dcterms:created>
  <dc:creator>Administrator</dc:creator>
  <cp:lastModifiedBy>Administrator</cp:lastModifiedBy>
  <dcterms:modified xsi:type="dcterms:W3CDTF">2020-11-23T08:37:43Z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